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ind w:firstLine="0" w:firstLineChars="0"/>
        <w:textAlignment w:val="baseline"/>
        <w:rPr>
          <w:rFonts w:hint="eastAsia" w:ascii="方正黑体_GBK" w:hAnsi="方正黑体_GBK" w:eastAsia="方正黑体_GBK" w:cs="方正黑体_GBK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Cs w:val="32"/>
          <w:lang w:val="en-US" w:eastAsia="zh-CN"/>
        </w:rPr>
        <w:t>附件</w:t>
      </w:r>
    </w:p>
    <w:p>
      <w:pPr>
        <w:pStyle w:val="14"/>
        <w:jc w:val="center"/>
        <w:rPr>
          <w:rFonts w:hint="default" w:ascii="Times New Roman" w:hAnsi="Times New Roman" w:eastAsia="方正仿宋_GBK" w:cs="Times New Roman"/>
          <w:b/>
        </w:rPr>
      </w:pPr>
    </w:p>
    <w:p>
      <w:pPr>
        <w:autoSpaceDE w:val="0"/>
        <w:autoSpaceDN w:val="0"/>
        <w:ind w:right="34" w:firstLine="562"/>
        <w:jc w:val="center"/>
        <w:rPr>
          <w:rFonts w:hint="default" w:ascii="Times New Roman" w:hAnsi="Times New Roman" w:eastAsia="方正仿宋_GBK" w:cs="Times New Roman"/>
          <w:b/>
          <w:sz w:val="28"/>
          <w:szCs w:val="28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广州市市场监管局</w:t>
      </w:r>
    </w:p>
    <w:p>
      <w:pPr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化妆品生产经营企业自查用户手册</w:t>
      </w: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  <w:bookmarkStart w:id="6" w:name="_GoBack"/>
      <w:bookmarkEnd w:id="6"/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rPr>
          <w:rFonts w:hint="default" w:ascii="Times New Roman" w:hAnsi="Times New Roman" w:eastAsia="方正仿宋_GBK" w:cs="Times New Roman"/>
        </w:rPr>
      </w:pPr>
    </w:p>
    <w:p>
      <w:pPr>
        <w:pStyle w:val="14"/>
        <w:jc w:val="center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</w:p>
    <w:p>
      <w:pPr>
        <w:pStyle w:val="14"/>
        <w:rPr>
          <w:rFonts w:hint="default" w:ascii="Times New Roman" w:hAnsi="Times New Roman" w:eastAsia="方正仿宋_GBK" w:cs="Times New Roman"/>
          <w:sz w:val="30"/>
          <w:szCs w:val="30"/>
        </w:rPr>
        <w:sectPr>
          <w:footerReference r:id="rId3" w:type="default"/>
          <w:pgSz w:w="11906" w:h="16838"/>
          <w:pgMar w:top="1701" w:right="1587" w:bottom="1701" w:left="1587" w:header="0" w:footer="1417" w:gutter="0"/>
          <w:pgNumType w:fmt="decimal"/>
          <w:cols w:space="720" w:num="1"/>
          <w:rtlGutter w:val="0"/>
          <w:docGrid w:linePitch="312" w:charSpace="0"/>
        </w:sectPr>
      </w:pPr>
    </w:p>
    <w:p>
      <w:pPr>
        <w:pStyle w:val="15"/>
        <w:spacing w:before="0"/>
        <w:ind w:firstLine="480"/>
        <w:jc w:val="center"/>
        <w:rPr>
          <w:rFonts w:hint="eastAsia" w:ascii="方正黑体_GBK" w:hAnsi="方正黑体_GBK" w:eastAsia="方正黑体_GBK" w:cs="方正黑体_GBK"/>
          <w:color w:val="auto"/>
          <w:sz w:val="32"/>
          <w:lang w:val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lang w:val="zh-CN"/>
        </w:rPr>
        <w:t>目录</w:t>
      </w:r>
    </w:p>
    <w:p>
      <w:pPr>
        <w:pStyle w:val="15"/>
        <w:spacing w:before="0"/>
        <w:ind w:firstLine="480"/>
        <w:jc w:val="center"/>
        <w:rPr>
          <w:rFonts w:hint="eastAsia" w:ascii="方正黑体_GBK" w:hAnsi="方正黑体_GBK" w:eastAsia="方正黑体_GBK" w:cs="方正黑体_GBK"/>
          <w:color w:val="auto"/>
          <w:sz w:val="32"/>
          <w:lang w:val="zh-CN"/>
        </w:rPr>
      </w:pPr>
    </w:p>
    <w:p>
      <w:pPr>
        <w:pStyle w:val="9"/>
        <w:tabs>
          <w:tab w:val="right" w:leader="dot" w:pos="8306"/>
        </w:tabs>
        <w:spacing w:beforeLines="0" w:afterLines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</w:rPr>
        <w:fldChar w:fldCharType="begin"/>
      </w:r>
      <w:r>
        <w:rPr>
          <w:rFonts w:hint="default" w:ascii="Times New Roman" w:hAnsi="Times New Roman" w:eastAsia="方正仿宋_GBK" w:cs="Times New Roman"/>
        </w:rPr>
        <w:instrText xml:space="preserve"> TOC \o "1-3" \h \z \u </w:instrText>
      </w:r>
      <w:r>
        <w:rPr>
          <w:rFonts w:hint="default" w:ascii="Times New Roman" w:hAnsi="Times New Roman" w:eastAsia="方正仿宋_GBK" w:cs="Times New Roma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HYPERLINK \l _Toc2773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 xml:space="preserve">1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平台登录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_Toc2773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</w:p>
    <w:p>
      <w:pPr>
        <w:pStyle w:val="10"/>
        <w:tabs>
          <w:tab w:val="right" w:leader="dot" w:pos="8306"/>
        </w:tabs>
        <w:spacing w:beforeLines="0" w:afterLines="0"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begin"/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instrText xml:space="preserve"> HYPERLINK \l _Toc13660 </w:instrTex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position w:val="0"/>
          <w:sz w:val="32"/>
          <w:szCs w:val="32"/>
          <w:vertAlign w:val="baseline"/>
          <w:lang w:bidi="zh-CN"/>
        </w:rPr>
        <w:t xml:space="preserve">1.1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登录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_Toc13660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end"/>
      </w:r>
    </w:p>
    <w:p>
      <w:pPr>
        <w:pStyle w:val="9"/>
        <w:tabs>
          <w:tab w:val="right" w:leader="dot" w:pos="8306"/>
        </w:tabs>
        <w:spacing w:beforeLines="0" w:afterLines="0" w:line="60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begin"/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instrText xml:space="preserve"> HYPERLINK \l _Toc21845 </w:instrTex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separate"/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 xml:space="preserve">2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市场主体监管互动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_Toc21845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end"/>
      </w:r>
    </w:p>
    <w:p>
      <w:pPr>
        <w:pStyle w:val="10"/>
        <w:tabs>
          <w:tab w:val="right" w:leader="dot" w:pos="8306"/>
        </w:tabs>
        <w:spacing w:beforeLines="0" w:afterLines="0"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begin"/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instrText xml:space="preserve"> HYPERLINK \l _Toc24874 </w:instrTex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separate"/>
      </w:r>
      <w:r>
        <w:rPr>
          <w:rFonts w:hint="default" w:ascii="Times New Roman" w:hAnsi="Times New Roman" w:eastAsia="方正仿宋_GBK" w:cs="Times New Roman"/>
          <w:bCs w:val="0"/>
          <w:i w:val="0"/>
          <w:iCs w:val="0"/>
          <w:caps w:val="0"/>
          <w:smallCaps w:val="0"/>
          <w:strike w:val="0"/>
          <w:dstrike w:val="0"/>
          <w:vanish w:val="0"/>
          <w:spacing w:val="0"/>
          <w:position w:val="0"/>
          <w:sz w:val="32"/>
          <w:szCs w:val="32"/>
          <w:vertAlign w:val="baseline"/>
          <w:lang w:bidi="zh-CN"/>
        </w:rPr>
        <w:t xml:space="preserve">2.1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企业自查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_Toc24874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end"/>
      </w:r>
    </w:p>
    <w:p>
      <w:pPr>
        <w:pStyle w:val="6"/>
        <w:tabs>
          <w:tab w:val="right" w:leader="dot" w:pos="8306"/>
        </w:tabs>
        <w:spacing w:beforeLines="0" w:afterLines="0" w:line="600" w:lineRule="exact"/>
        <w:ind w:left="0" w:leftChars="0" w:firstLine="640" w:firstLineChars="20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begin"/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instrText xml:space="preserve"> HYPERLINK \l _Toc23323 </w:instrTex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separate"/>
      </w:r>
      <w:r>
        <w:rPr>
          <w:rFonts w:hint="default" w:ascii="Times New Roman" w:hAnsi="Times New Roman" w:eastAsia="方正仿宋_GBK" w:cs="Times New Roman"/>
          <w:i w:val="0"/>
          <w:sz w:val="32"/>
          <w:szCs w:val="32"/>
        </w:rPr>
        <w:t xml:space="preserve">2.1.1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药械化企业自查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ab/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</w:rPr>
        <w:instrText xml:space="preserve"> PAGEREF _Toc23323 \h </w:instrTex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fldChar w:fldCharType="end"/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zh-CN"/>
        </w:rPr>
        <w:fldChar w:fldCharType="end"/>
      </w:r>
    </w:p>
    <w:p>
      <w:pPr>
        <w:spacing w:beforeLines="0" w:afterLines="0"/>
        <w:ind w:firstLine="48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bCs/>
          <w:lang w:val="zh-CN"/>
        </w:rPr>
        <w:fldChar w:fldCharType="end"/>
      </w:r>
    </w:p>
    <w:p>
      <w:pPr>
        <w:ind w:firstLine="480"/>
        <w:rPr>
          <w:rFonts w:hint="default" w:ascii="Times New Roman" w:hAnsi="Times New Roman" w:eastAsia="方正仿宋_GBK" w:cs="Times New Roman"/>
        </w:rPr>
        <w:sectPr>
          <w:headerReference r:id="rId4" w:type="default"/>
          <w:footerReference r:id="rId5" w:type="default"/>
          <w:pgSz w:w="11906" w:h="16838"/>
          <w:pgMar w:top="1701" w:right="1587" w:bottom="1701" w:left="1587" w:header="0" w:footer="1361" w:gutter="0"/>
          <w:pgNumType w:fmt="decimal"/>
          <w:cols w:space="720" w:num="1"/>
          <w:rtlGutter w:val="0"/>
          <w:docGrid w:linePitch="312" w:charSpace="0"/>
        </w:sectPr>
      </w:pPr>
    </w:p>
    <w:p>
      <w:pPr>
        <w:pStyle w:val="2"/>
        <w:spacing w:before="0" w:after="0" w:line="240" w:lineRule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0" w:name="_Toc2773"/>
      <w:bookmarkStart w:id="1" w:name="_Toc3460906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平台登录</w:t>
      </w:r>
      <w:bookmarkEnd w:id="0"/>
      <w:bookmarkEnd w:id="1"/>
    </w:p>
    <w:p>
      <w:pPr>
        <w:pStyle w:val="3"/>
        <w:spacing w:before="0" w:after="0" w:line="240" w:lineRule="auto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2" w:name="_Toc1366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登录</w:t>
      </w:r>
      <w:bookmarkEnd w:id="2"/>
    </w:p>
    <w:p>
      <w:pPr>
        <w:spacing w:line="600" w:lineRule="exact"/>
        <w:ind w:firstLine="48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方式一：进入广州市市场监管局官网（链接网址：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instrText xml:space="preserve"> HYPERLINK "http://scjgj.gz.gov.cn/index.html），打开\“政务服务—办事服务—企业上报和服务专区—药械化企业专区\”，微信扫码登录后按要求填写。"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http://scjgj.gz.gov.cn/index.html），打开【政务服务】—【办事服务】—【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企业上报和服务专区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—【药械化企业专区】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，选择【法人登录】，微信扫码后通过广东省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统一身份认证平台登录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fldChar w:fldCharType="end"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48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方式二：打开浏览器，输入“企业上报和服务专区”网址：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instrText xml:space="preserve"> HYPERLINK "https://portal.scjgj.gz.gov.cn/psout/jsp/gcloud/psout/" </w:instrTex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https://portal.scjgj.gz.gov.cn/psout/jsp/gcloud/psout/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fldChar w:fldCharType="end"/>
      </w:r>
    </w:p>
    <w:p>
      <w:pPr>
        <w:spacing w:line="600" w:lineRule="exact"/>
        <w:ind w:left="0" w:leftChars="0" w:firstLine="0" w:firstLineChars="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portal/index.jsp进入，点击【登录】，选择【法人登录】，微信扫码后通过广东省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统一身份认证平台登录。</w:t>
      </w:r>
    </w:p>
    <w:p>
      <w:pPr>
        <w:ind w:firstLine="0" w:firstLineChars="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4627880" cy="2246630"/>
            <wp:effectExtent l="0" t="0" r="1270" b="127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7880" cy="224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微信扫码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登录：</w:t>
      </w:r>
    </w:p>
    <w:p>
      <w:pPr>
        <w:ind w:left="0" w:leftChars="0" w:firstLine="0" w:firstLineChars="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4790440" cy="1997075"/>
            <wp:effectExtent l="0" t="0" r="10160" b="317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199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ind w:left="0" w:leftChars="0" w:firstLine="0" w:firstLineChars="0"/>
        <w:rPr>
          <w:rFonts w:hint="default" w:ascii="Times New Roman" w:hAnsi="Times New Roman" w:eastAsia="方正仿宋_GBK" w:cs="Times New Roman"/>
        </w:rPr>
      </w:pPr>
    </w:p>
    <w:p>
      <w:pPr>
        <w:ind w:firstLine="48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账号密码</w:t>
      </w:r>
      <w:r>
        <w:rPr>
          <w:rFonts w:hint="default" w:ascii="Times New Roman" w:hAnsi="Times New Roman" w:eastAsia="方正仿宋_GBK" w:cs="Times New Roman"/>
        </w:rPr>
        <w:t>登录：</w:t>
      </w:r>
    </w:p>
    <w:p>
      <w:pPr>
        <w:ind w:firstLine="0" w:firstLineChars="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262880" cy="2557145"/>
            <wp:effectExtent l="0" t="0" r="13970" b="146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55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0" w:firstLineChars="0"/>
        <w:rPr>
          <w:rFonts w:hint="default" w:ascii="Times New Roman" w:hAnsi="Times New Roman" w:eastAsia="方正仿宋_GBK" w:cs="Times New Roman"/>
        </w:rPr>
      </w:pPr>
    </w:p>
    <w:p>
      <w:pPr>
        <w:pStyle w:val="2"/>
        <w:spacing w:before="0" w:after="0" w:line="6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3" w:name="_Toc21845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市场主体监管互动</w:t>
      </w:r>
      <w:bookmarkEnd w:id="3"/>
    </w:p>
    <w:p>
      <w:pPr>
        <w:spacing w:line="600" w:lineRule="exact"/>
        <w:ind w:firstLine="48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登录后，以经办企业身份，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点击</w:t>
      </w:r>
      <w:r>
        <w:rPr>
          <w:rFonts w:hint="eastAsia"/>
          <w:sz w:val="32"/>
          <w:szCs w:val="32"/>
          <w:lang w:eastAsia="zh-CN"/>
        </w:rPr>
        <w:t>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市场主体监管互动</w:t>
      </w:r>
      <w:r>
        <w:rPr>
          <w:rFonts w:hint="eastAsia"/>
          <w:sz w:val="32"/>
          <w:szCs w:val="32"/>
          <w:lang w:eastAsia="zh-CN"/>
        </w:rPr>
        <w:t>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【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企业自查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，跳转进入对应子系统。</w:t>
      </w:r>
    </w:p>
    <w:p>
      <w:pPr>
        <w:ind w:firstLine="0" w:firstLineChars="0"/>
        <w:rPr>
          <w:rFonts w:hint="default" w:ascii="Times New Roman" w:hAnsi="Times New Roman" w:eastAsia="方正仿宋_GBK" w:cs="Times New Roman"/>
        </w:rPr>
      </w:pPr>
      <w:r>
        <w:rPr>
          <w:rFonts w:hint="default" w:ascii="仿宋" w:hAnsi="仿宋" w:eastAsia="仿宋" w:cs="仿宋"/>
          <w:color w:val="000000"/>
          <w:lang w:val="en-US" w:eastAsia="zh-CN"/>
        </w:rPr>
        <w:drawing>
          <wp:inline distT="0" distB="0" distL="114300" distR="114300">
            <wp:extent cx="5266690" cy="2446655"/>
            <wp:effectExtent l="0" t="0" r="10160" b="10795"/>
            <wp:docPr id="3" name="图片 4" descr="e1fe86b2123f7fc391bf5ee5e54e9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e1fe86b2123f7fc391bf5ee5e54e9b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spacing w:line="5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4" w:name="_Toc24874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企业自查</w:t>
      </w:r>
      <w:bookmarkEnd w:id="4"/>
    </w:p>
    <w:p>
      <w:pPr>
        <w:pStyle w:val="4"/>
        <w:numPr>
          <w:ilvl w:val="0"/>
          <w:numId w:val="0"/>
        </w:numPr>
        <w:spacing w:line="5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bookmarkStart w:id="5" w:name="_Toc23323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2.1.1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药械化企业自查</w:t>
      </w:r>
      <w:bookmarkEnd w:id="5"/>
    </w:p>
    <w:p>
      <w:pPr>
        <w:pStyle w:val="5"/>
        <w:widowControl/>
        <w:spacing w:line="50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2.1.1.1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我的自查</w:t>
      </w:r>
    </w:p>
    <w:p>
      <w:pPr>
        <w:pStyle w:val="11"/>
        <w:spacing w:before="0" w:beforeAutospacing="0" w:after="0" w:afterAutospacing="0" w:line="52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选择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药械化企业自查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我的自查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】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，进入功能界面。用户可以在本界面上根据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状态、关键字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多个查询条件组合查询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</w:p>
    <w:p>
      <w:pPr>
        <w:ind w:left="0" w:leftChars="0" w:firstLine="0" w:firstLineChars="0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023485" cy="2661920"/>
            <wp:effectExtent l="0" t="0" r="5715" b="508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3485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spacing w:before="0" w:beforeAutospacing="0" w:after="0" w:afterAutospacing="0" w:line="360" w:lineRule="auto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选择用户关联下的企业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5046345" cy="2527935"/>
            <wp:effectExtent l="0" t="0" r="1905" b="571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46345" cy="25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1"/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双击列表进入自查表，填写表单数据，点击提交按钮提交自查表。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4655820" cy="2339975"/>
            <wp:effectExtent l="0" t="0" r="11430" b="3175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55820" cy="233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4696460" cy="2510155"/>
            <wp:effectExtent l="0" t="0" r="8890" b="444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96460" cy="251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若信息填错，可在提交后点击撤回按钮撤回，修改后重新提交。</w:t>
      </w:r>
    </w:p>
    <w:p>
      <w:r>
        <w:rPr>
          <w:rFonts w:hint="default" w:ascii="Times New Roman" w:hAnsi="Times New Roman" w:eastAsia="方正仿宋_GBK" w:cs="Times New Roman"/>
        </w:rPr>
        <w:drawing>
          <wp:inline distT="0" distB="0" distL="114300" distR="114300">
            <wp:extent cx="4714875" cy="2044700"/>
            <wp:effectExtent l="0" t="0" r="9525" b="1270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ind w:left="320" w:leftChars="100" w:right="320" w:rightChars="10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QJJ5fHAQAAm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xTiGqA99WaJcD8KbY8ImSm+5wgQ7F8aJFXbzduWV&#10;eHwvWQ9/1PY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PQJJ5fHAQAAmQ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left="320" w:leftChars="100" w:right="320" w:rightChars="10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pBdr>
        <w:bottom w:val="single" w:color="auto" w:sz="4" w:space="1"/>
      </w:pBdr>
      <w:rPr>
        <w:rFonts w:hint="eastAsia"/>
        <w:sz w:val="21"/>
        <w:szCs w:val="21"/>
        <w:lang w:eastAsia="zh-CN"/>
      </w:rPr>
    </w:pPr>
  </w:p>
  <w:p>
    <w:pPr>
      <w:pStyle w:val="14"/>
      <w:pBdr>
        <w:bottom w:val="single" w:color="auto" w:sz="4" w:space="1"/>
      </w:pBdr>
      <w:rPr>
        <w:rFonts w:hint="eastAsia"/>
        <w:sz w:val="21"/>
        <w:szCs w:val="21"/>
        <w:lang w:eastAsia="zh-CN"/>
      </w:rPr>
    </w:pPr>
  </w:p>
  <w:p>
    <w:pPr>
      <w:pStyle w:val="14"/>
      <w:pBdr>
        <w:bottom w:val="single" w:color="auto" w:sz="4" w:space="1"/>
      </w:pBdr>
      <w:rPr>
        <w:rFonts w:hint="eastAsia"/>
        <w:sz w:val="21"/>
        <w:szCs w:val="21"/>
        <w:lang w:eastAsia="zh-CN"/>
      </w:rPr>
    </w:pPr>
  </w:p>
  <w:p>
    <w:pPr>
      <w:pStyle w:val="14"/>
      <w:pBdr>
        <w:bottom w:val="single" w:color="auto" w:sz="4" w:space="1"/>
      </w:pBdr>
      <w:rPr>
        <w:rFonts w:hint="eastAsia"/>
        <w:sz w:val="21"/>
        <w:szCs w:val="21"/>
        <w:lang w:eastAsia="zh-CN"/>
      </w:rPr>
    </w:pPr>
  </w:p>
  <w:p>
    <w:pPr>
      <w:pStyle w:val="14"/>
      <w:pBdr>
        <w:bottom w:val="single" w:color="auto" w:sz="4" w:space="1"/>
      </w:pBdr>
      <w:rPr>
        <w:rFonts w:hint="eastAsia"/>
        <w:sz w:val="21"/>
        <w:szCs w:val="21"/>
        <w:lang w:eastAsia="zh-CN"/>
      </w:rPr>
    </w:pPr>
  </w:p>
  <w:p>
    <w:pPr>
      <w:pStyle w:val="14"/>
      <w:pBdr>
        <w:bottom w:val="single" w:color="auto" w:sz="4" w:space="1"/>
      </w:pBdr>
      <w:rPr>
        <w:rFonts w:hint="eastAsia"/>
        <w:sz w:val="21"/>
        <w:szCs w:val="21"/>
        <w:lang w:eastAsia="zh-CN"/>
      </w:rPr>
    </w:pPr>
  </w:p>
  <w:p>
    <w:pPr>
      <w:pStyle w:val="14"/>
      <w:pBdr>
        <w:bottom w:val="single" w:color="auto" w:sz="4" w:space="1"/>
      </w:pBdr>
      <w:rPr>
        <w:sz w:val="21"/>
        <w:szCs w:val="21"/>
      </w:rPr>
    </w:pPr>
    <w:r>
      <w:rPr>
        <w:rFonts w:hint="eastAsia"/>
        <w:sz w:val="21"/>
        <w:szCs w:val="21"/>
        <w:lang w:eastAsia="zh-CN"/>
      </w:rPr>
      <w:t>化妆品生产经营企业自查</w:t>
    </w:r>
    <w:r>
      <w:rPr>
        <w:rFonts w:hint="eastAsia"/>
        <w:sz w:val="21"/>
        <w:szCs w:val="21"/>
      </w:rPr>
      <w:t xml:space="preserve"> </w:t>
    </w:r>
    <w:r>
      <w:rPr>
        <w:sz w:val="21"/>
        <w:szCs w:val="21"/>
      </w:rPr>
      <w:t xml:space="preserve">             </w:t>
    </w:r>
    <w:r>
      <w:rPr>
        <w:rFonts w:hint="eastAsia"/>
        <w:sz w:val="21"/>
        <w:szCs w:val="21"/>
      </w:rPr>
      <w:t xml:space="preserve">                          </w:t>
    </w:r>
    <w:r>
      <w:rPr>
        <w:rFonts w:hint="eastAsia"/>
        <w:sz w:val="21"/>
        <w:szCs w:val="21"/>
        <w:lang w:val="en-US" w:eastAsia="zh-CN"/>
      </w:rPr>
      <w:t xml:space="preserve">        </w:t>
    </w:r>
    <w:r>
      <w:rPr>
        <w:rFonts w:hint="eastAsia"/>
        <w:sz w:val="21"/>
        <w:szCs w:val="21"/>
      </w:rPr>
      <w:t>用户手册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870098"/>
    <w:multiLevelType w:val="multilevel"/>
    <w:tmpl w:val="F9870098"/>
    <w:lvl w:ilvl="0" w:tentative="0">
      <w:start w:val="1"/>
      <w:numFmt w:val="decimal"/>
      <w:suff w:val="space"/>
      <w:lvlText w:val="%1"/>
      <w:lvlJc w:val="left"/>
      <w:pPr>
        <w:tabs>
          <w:tab w:val="left" w:pos="0"/>
        </w:tabs>
        <w:ind w:left="0" w:firstLine="0"/>
      </w:pPr>
      <w:rPr>
        <w:rFonts w:hint="default" w:ascii="宋体" w:hAnsi="宋体" w:eastAsia="宋体" w:cs="宋体"/>
        <w:b/>
        <w:i w:val="0"/>
        <w:sz w:val="32"/>
      </w:rPr>
    </w:lvl>
    <w:lvl w:ilvl="1" w:tentative="0">
      <w:start w:val="1"/>
      <w:numFmt w:val="decimal"/>
      <w:isLgl/>
      <w:suff w:val="space"/>
      <w:lvlText w:val="%1.%2"/>
      <w:lvlJc w:val="left"/>
      <w:pPr>
        <w:tabs>
          <w:tab w:val="left" w:pos="0"/>
        </w:tabs>
        <w:ind w:left="0" w:firstLine="0"/>
      </w:pPr>
      <w:rPr>
        <w:rFonts w:hint="default" w:ascii="宋体" w:hAnsi="宋体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8"/>
        <w:u w:val="none"/>
        <w:vertAlign w:val="baseline"/>
        <w:lang w:bidi="zh-CN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eastAsia="仿宋" w:cs="Times New Roman"/>
        <w:b/>
        <w:i w:val="0"/>
        <w:sz w:val="32"/>
        <w:szCs w:val="32"/>
      </w:rPr>
    </w:lvl>
    <w:lvl w:ilvl="3" w:tentative="0">
      <w:start w:val="1"/>
      <w:numFmt w:val="decimal"/>
      <w:isLgl/>
      <w:suff w:val="space"/>
      <w:lvlText w:val="%1.%2.%3.%4"/>
      <w:lvlJc w:val="left"/>
      <w:pPr>
        <w:tabs>
          <w:tab w:val="left" w:pos="0"/>
        </w:tabs>
        <w:ind w:left="0" w:firstLine="0"/>
      </w:pPr>
      <w:rPr>
        <w:rFonts w:hint="default" w:ascii="宋体" w:eastAsia="仿宋"/>
        <w:b/>
        <w:i w:val="0"/>
        <w:sz w:val="28"/>
      </w:rPr>
    </w:lvl>
    <w:lvl w:ilvl="4" w:tentative="0">
      <w:start w:val="1"/>
      <w:numFmt w:val="decimal"/>
      <w:isLgl/>
      <w:suff w:val="space"/>
      <w:lvlText w:val="%1.%2.%3.%4.%5"/>
      <w:lvlJc w:val="left"/>
      <w:pPr>
        <w:tabs>
          <w:tab w:val="left" w:pos="0"/>
        </w:tabs>
        <w:ind w:left="0" w:firstLine="0"/>
      </w:pPr>
      <w:rPr>
        <w:rFonts w:hint="default" w:ascii="宋体" w:eastAsia="仿宋"/>
        <w:b/>
        <w:i w:val="0"/>
        <w:sz w:val="28"/>
      </w:rPr>
    </w:lvl>
    <w:lvl w:ilvl="5" w:tentative="0">
      <w:start w:val="1"/>
      <w:numFmt w:val="decimal"/>
      <w:isLgl/>
      <w:lvlText w:val="%1.%2.%3.%4.%5.%6."/>
      <w:lvlJc w:val="left"/>
      <w:pPr>
        <w:ind w:left="0" w:firstLine="0"/>
      </w:pPr>
      <w:rPr>
        <w:rFonts w:hint="eastAsia" w:eastAsia="宋体"/>
        <w:b/>
        <w:i w:val="0"/>
        <w:sz w:val="28"/>
      </w:rPr>
    </w:lvl>
    <w:lvl w:ilvl="6" w:tentative="0">
      <w:start w:val="1"/>
      <w:numFmt w:val="decimal"/>
      <w:isLgl/>
      <w:lvlText w:val="%1.%2.%3.%4.%5.%6.%7.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7" w:tentative="0">
      <w:start w:val="1"/>
      <w:numFmt w:val="decimal"/>
      <w:isLgl/>
      <w:lvlText w:val="%1.%2.%3.%4.%5.%6.%7.%8.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  <w:lvl w:ilvl="8" w:tentative="0">
      <w:start w:val="1"/>
      <w:numFmt w:val="decimal"/>
      <w:isLgl/>
      <w:lvlText w:val="%1.%2.%3.%4.%5.%6.%7.%8.%9."/>
      <w:lvlJc w:val="left"/>
      <w:pPr>
        <w:ind w:left="0" w:firstLine="0"/>
      </w:pPr>
      <w:rPr>
        <w:rFonts w:hint="eastAsia" w:ascii="宋体" w:eastAsia="宋体"/>
        <w:b/>
        <w:i w:val="0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D4189"/>
    <w:rsid w:val="0DED4189"/>
    <w:rsid w:val="7CFB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spacing w:before="340" w:beforeLines="0" w:beforeAutospacing="0" w:after="330" w:afterLines="0" w:afterAutospacing="0" w:line="576" w:lineRule="auto"/>
      <w:outlineLvl w:val="0"/>
    </w:pPr>
    <w:rPr>
      <w:rFonts w:hint="eastAsia"/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20" w:after="120"/>
      <w:ind w:firstLineChars="0"/>
      <w:outlineLvl w:val="2"/>
    </w:pPr>
    <w:rPr>
      <w:rFonts w:ascii="Calibri" w:hAnsi="Calibri"/>
      <w:b/>
      <w:bCs/>
      <w:sz w:val="28"/>
      <w:szCs w:val="32"/>
    </w:rPr>
  </w:style>
  <w:style w:type="paragraph" w:styleId="5">
    <w:name w:val="heading 4"/>
    <w:basedOn w:val="1"/>
    <w:next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kern w:val="0"/>
      <w:sz w:val="24"/>
    </w:rPr>
  </w:style>
  <w:style w:type="paragraph" w:customStyle="1" w:styleId="14">
    <w:name w:val="无间隔1"/>
    <w:qFormat/>
    <w:uiPriority w:val="1"/>
    <w:pPr>
      <w:jc w:val="both"/>
    </w:pPr>
    <w:rPr>
      <w:rFonts w:ascii="Calibri" w:hAnsi="Calibri" w:eastAsia="宋体" w:cs="Times New Roman"/>
      <w:kern w:val="44"/>
      <w:sz w:val="24"/>
      <w:szCs w:val="24"/>
      <w:lang w:val="en-US" w:eastAsia="zh-CN" w:bidi="ar-SA"/>
    </w:rPr>
  </w:style>
  <w:style w:type="paragraph" w:customStyle="1" w:styleId="15">
    <w:name w:val="TOC 标题2"/>
    <w:basedOn w:val="2"/>
    <w:next w:val="1"/>
    <w:unhideWhenUsed/>
    <w:qFormat/>
    <w:uiPriority w:val="39"/>
    <w:pPr>
      <w:numPr>
        <w:ilvl w:val="0"/>
        <w:numId w:val="0"/>
      </w:numPr>
      <w:spacing w:before="240" w:after="0" w:line="259" w:lineRule="auto"/>
      <w:jc w:val="left"/>
      <w:outlineLvl w:val="9"/>
    </w:pPr>
    <w:rPr>
      <w:rFonts w:ascii="Cambria" w:hAnsi="Cambria" w:eastAsia="宋体" w:cs="Times New Roman"/>
      <w:b w:val="0"/>
      <w:color w:val="366091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2025-01-24T11:13:00Z</dcterms:created>
  <dc:creator>叶菲</dc:creator>
  <cp:lastModifiedBy>传入的名字</cp:lastModifiedBy>
  <dcterms:modified xsi:type="dcterms:W3CDTF">2025-03-25T12:25:47Z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D35FCBB94F53498BB0349E139CF8E704_11</vt:lpwstr>
  </property>
  <property fmtid="{D5CDD505-2E9C-101B-9397-08002B2CF9AE}" pid="4" name="KSOTemplateDocerSaveRecord">
    <vt:lpwstr>eyJoZGlkIjoiNzY3ZDhhMTNlYjdhYzYwN2ZlZjg0OTA4NGExOTcxNjAiLCJ1c2VySWQiOiIyODMyODk2OTAifQ==</vt:lpwstr>
  </property>
</Properties>
</file>