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833323">
      <w:pPr>
        <w:spacing w:line="579" w:lineRule="exact"/>
        <w:ind w:firstLine="0" w:firstLineChars="0"/>
        <w:textAlignment w:val="baseline"/>
        <w:rPr>
          <w:rFonts w:hint="eastAsia" w:ascii="方正黑体_GBK" w:hAnsi="方正黑体_GBK" w:eastAsia="方正黑体_GBK" w:cs="方正黑体_GBK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Cs w:val="32"/>
          <w:lang w:val="en-US" w:eastAsia="zh-CN"/>
        </w:rPr>
        <w:t>附件</w:t>
      </w:r>
    </w:p>
    <w:p w14:paraId="42F6D3D9">
      <w:pPr>
        <w:pStyle w:val="14"/>
        <w:jc w:val="center"/>
        <w:rPr>
          <w:rFonts w:hint="default" w:ascii="Times New Roman" w:hAnsi="Times New Roman" w:eastAsia="方正仿宋_GBK" w:cs="Times New Roman"/>
          <w:b/>
        </w:rPr>
      </w:pPr>
    </w:p>
    <w:p w14:paraId="68D69DA5">
      <w:pPr>
        <w:autoSpaceDE w:val="0"/>
        <w:autoSpaceDN w:val="0"/>
        <w:ind w:right="34" w:firstLine="562"/>
        <w:jc w:val="center"/>
        <w:rPr>
          <w:rFonts w:hint="default" w:ascii="Times New Roman" w:hAnsi="Times New Roman" w:eastAsia="方正仿宋_GBK" w:cs="Times New Roman"/>
          <w:b/>
          <w:sz w:val="28"/>
          <w:szCs w:val="28"/>
        </w:rPr>
      </w:pPr>
    </w:p>
    <w:p w14:paraId="2B60E8BB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1E2F11D6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392F0752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1AEE98F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46F42899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5ECF984D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1B1F5097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5DB88C1D"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" w:eastAsia="zh-CN"/>
        </w:rPr>
      </w:pPr>
      <w:bookmarkStart w:id="6" w:name="_GoBack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广州市市场监管局</w:t>
      </w:r>
    </w:p>
    <w:p w14:paraId="6847C2F8"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医疗器械经营企业年度自查报告用户手册</w:t>
      </w:r>
      <w:bookmarkEnd w:id="6"/>
    </w:p>
    <w:p w14:paraId="604982C7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59EF7194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36C9B83D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4BDCB0F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0FA1BBB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19DE057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0FC90300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6FBB12A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67F5CD09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43424E51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1BAE8D0A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58194B2F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221DF0AB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053528B8">
      <w:pPr>
        <w:pStyle w:val="14"/>
        <w:jc w:val="center"/>
        <w:rPr>
          <w:rFonts w:hint="default" w:ascii="Times New Roman" w:hAnsi="Times New Roman" w:eastAsia="方正仿宋_GBK" w:cs="Times New Roman"/>
        </w:rPr>
      </w:pPr>
    </w:p>
    <w:p w14:paraId="14C24B1B">
      <w:pPr>
        <w:pStyle w:val="14"/>
        <w:rPr>
          <w:rFonts w:hint="default" w:ascii="Times New Roman" w:hAnsi="Times New Roman" w:eastAsia="方正仿宋_GBK" w:cs="Times New Roman"/>
        </w:rPr>
      </w:pPr>
    </w:p>
    <w:p w14:paraId="5806D6A7">
      <w:pPr>
        <w:pStyle w:val="14"/>
        <w:rPr>
          <w:rFonts w:hint="default" w:ascii="Times New Roman" w:hAnsi="Times New Roman" w:eastAsia="方正仿宋_GBK" w:cs="Times New Roman"/>
        </w:rPr>
      </w:pPr>
    </w:p>
    <w:p w14:paraId="65A30020">
      <w:pPr>
        <w:pStyle w:val="14"/>
        <w:rPr>
          <w:rFonts w:hint="default" w:ascii="Times New Roman" w:hAnsi="Times New Roman" w:eastAsia="方正仿宋_GBK" w:cs="Times New Roman"/>
        </w:rPr>
      </w:pPr>
    </w:p>
    <w:p w14:paraId="674C14F5">
      <w:pPr>
        <w:pStyle w:val="14"/>
        <w:rPr>
          <w:rFonts w:hint="default" w:ascii="Times New Roman" w:hAnsi="Times New Roman" w:eastAsia="方正仿宋_GBK" w:cs="Times New Roman"/>
        </w:rPr>
      </w:pPr>
    </w:p>
    <w:p w14:paraId="0A9ADDEC">
      <w:pPr>
        <w:pStyle w:val="14"/>
        <w:rPr>
          <w:rFonts w:hint="default" w:ascii="Times New Roman" w:hAnsi="Times New Roman" w:eastAsia="方正仿宋_GBK" w:cs="Times New Roman"/>
        </w:rPr>
      </w:pPr>
    </w:p>
    <w:p w14:paraId="0CCAA35B">
      <w:pPr>
        <w:pStyle w:val="14"/>
        <w:rPr>
          <w:rFonts w:hint="default" w:ascii="Times New Roman" w:hAnsi="Times New Roman" w:eastAsia="方正仿宋_GBK" w:cs="Times New Roman"/>
        </w:rPr>
      </w:pPr>
    </w:p>
    <w:p w14:paraId="27C645BF">
      <w:pPr>
        <w:pStyle w:val="14"/>
        <w:rPr>
          <w:rFonts w:hint="default" w:ascii="Times New Roman" w:hAnsi="Times New Roman" w:eastAsia="方正仿宋_GBK" w:cs="Times New Roman"/>
        </w:rPr>
      </w:pPr>
    </w:p>
    <w:p w14:paraId="3235012F">
      <w:pPr>
        <w:pStyle w:val="14"/>
        <w:rPr>
          <w:rFonts w:hint="default" w:ascii="Times New Roman" w:hAnsi="Times New Roman" w:eastAsia="方正仿宋_GBK" w:cs="Times New Roman"/>
        </w:rPr>
      </w:pPr>
    </w:p>
    <w:p w14:paraId="43728274">
      <w:pPr>
        <w:pStyle w:val="14"/>
        <w:rPr>
          <w:rFonts w:hint="default" w:ascii="Times New Roman" w:hAnsi="Times New Roman" w:eastAsia="方正仿宋_GBK" w:cs="Times New Roman"/>
        </w:rPr>
      </w:pPr>
    </w:p>
    <w:p w14:paraId="5E476A21">
      <w:pPr>
        <w:pStyle w:val="14"/>
        <w:rPr>
          <w:rFonts w:hint="default" w:ascii="Times New Roman" w:hAnsi="Times New Roman" w:eastAsia="方正仿宋_GBK" w:cs="Times New Roman"/>
        </w:rPr>
      </w:pPr>
    </w:p>
    <w:p w14:paraId="4CB30FDC">
      <w:pPr>
        <w:pStyle w:val="14"/>
        <w:rPr>
          <w:rFonts w:hint="default" w:ascii="Times New Roman" w:hAnsi="Times New Roman" w:eastAsia="方正仿宋_GBK" w:cs="Times New Roman"/>
        </w:rPr>
      </w:pPr>
    </w:p>
    <w:p w14:paraId="5AC32DFB">
      <w:pPr>
        <w:pStyle w:val="14"/>
        <w:rPr>
          <w:rFonts w:hint="default" w:ascii="Times New Roman" w:hAnsi="Times New Roman" w:eastAsia="方正仿宋_GBK" w:cs="Times New Roman"/>
        </w:rPr>
      </w:pPr>
    </w:p>
    <w:p w14:paraId="22E81FF6">
      <w:pPr>
        <w:pStyle w:val="14"/>
        <w:rPr>
          <w:rFonts w:hint="default" w:ascii="Times New Roman" w:hAnsi="Times New Roman" w:eastAsia="方正仿宋_GBK" w:cs="Times New Roman"/>
        </w:rPr>
      </w:pPr>
    </w:p>
    <w:p w14:paraId="39ADEC0D">
      <w:pPr>
        <w:pStyle w:val="14"/>
        <w:rPr>
          <w:rFonts w:hint="default" w:ascii="Times New Roman" w:hAnsi="Times New Roman" w:eastAsia="方正仿宋_GBK" w:cs="Times New Roman"/>
        </w:rPr>
      </w:pPr>
    </w:p>
    <w:p w14:paraId="481D2530">
      <w:pPr>
        <w:pStyle w:val="14"/>
        <w:rPr>
          <w:rFonts w:hint="default" w:ascii="Times New Roman" w:hAnsi="Times New Roman" w:eastAsia="方正仿宋_GBK" w:cs="Times New Roman"/>
        </w:rPr>
      </w:pPr>
    </w:p>
    <w:p w14:paraId="498F3962">
      <w:pPr>
        <w:pStyle w:val="14"/>
        <w:jc w:val="center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2025年1月</w:t>
      </w:r>
    </w:p>
    <w:p w14:paraId="1448F8C7">
      <w:pPr>
        <w:pStyle w:val="14"/>
        <w:rPr>
          <w:rFonts w:hint="default" w:ascii="Times New Roman" w:hAnsi="Times New Roman" w:eastAsia="方正仿宋_GBK" w:cs="Times New Roman"/>
          <w:sz w:val="30"/>
          <w:szCs w:val="30"/>
        </w:rPr>
        <w:sectPr>
          <w:footerReference r:id="rId3" w:type="default"/>
          <w:pgSz w:w="11906" w:h="16838"/>
          <w:pgMar w:top="1701" w:right="1587" w:bottom="1701" w:left="1587" w:header="0" w:footer="1417" w:gutter="0"/>
          <w:pgNumType w:fmt="decimal"/>
          <w:cols w:space="720" w:num="1"/>
          <w:rtlGutter w:val="0"/>
          <w:docGrid w:linePitch="312" w:charSpace="0"/>
        </w:sectPr>
      </w:pPr>
    </w:p>
    <w:p w14:paraId="63EB522E">
      <w:pPr>
        <w:pStyle w:val="15"/>
        <w:spacing w:before="0"/>
        <w:ind w:firstLine="480"/>
        <w:jc w:val="center"/>
        <w:rPr>
          <w:rFonts w:hint="eastAsia" w:ascii="方正黑体_GBK" w:hAnsi="方正黑体_GBK" w:eastAsia="方正黑体_GBK" w:cs="方正黑体_GBK"/>
          <w:color w:val="auto"/>
          <w:sz w:val="32"/>
          <w:lang w:val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lang w:val="zh-CN"/>
        </w:rPr>
        <w:t>目录</w:t>
      </w:r>
    </w:p>
    <w:p w14:paraId="4174829C">
      <w:pPr>
        <w:pStyle w:val="15"/>
        <w:spacing w:before="0"/>
        <w:ind w:firstLine="480"/>
        <w:jc w:val="center"/>
        <w:rPr>
          <w:rFonts w:hint="eastAsia" w:ascii="方正黑体_GBK" w:hAnsi="方正黑体_GBK" w:eastAsia="方正黑体_GBK" w:cs="方正黑体_GBK"/>
          <w:color w:val="auto"/>
          <w:sz w:val="32"/>
          <w:lang w:val="zh-CN"/>
        </w:rPr>
      </w:pPr>
    </w:p>
    <w:p w14:paraId="5AC9D5B3">
      <w:pPr>
        <w:pStyle w:val="9"/>
        <w:tabs>
          <w:tab w:val="right" w:leader="dot" w:pos="8306"/>
        </w:tabs>
        <w:spacing w:beforeLines="0" w:afterLines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</w:rPr>
        <w:fldChar w:fldCharType="begin"/>
      </w:r>
      <w:r>
        <w:rPr>
          <w:rFonts w:hint="default" w:ascii="Times New Roman" w:hAnsi="Times New Roman" w:eastAsia="方正仿宋_GBK" w:cs="Times New Roman"/>
        </w:rPr>
        <w:instrText xml:space="preserve"> TOC \o "1-3" \h \z \u </w:instrText>
      </w:r>
      <w:r>
        <w:rPr>
          <w:rFonts w:hint="default" w:ascii="Times New Roman" w:hAnsi="Times New Roman" w:eastAsia="方正仿宋_GBK" w:cs="Times New Roman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HYPERLINK \l _Toc2773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i w:val="0"/>
          <w:sz w:val="32"/>
          <w:szCs w:val="32"/>
        </w:rPr>
        <w:t xml:space="preserve">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平台登录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PAGEREF _Toc2773 \h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</w:p>
    <w:p w14:paraId="52C7290C">
      <w:pPr>
        <w:pStyle w:val="10"/>
        <w:tabs>
          <w:tab w:val="right" w:leader="dot" w:pos="8306"/>
        </w:tabs>
        <w:spacing w:beforeLines="0" w:afterLines="0" w:line="600" w:lineRule="exact"/>
        <w:ind w:left="0"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begin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instrText xml:space="preserve"> HYPERLINK \l _Toc13660 </w:instrTex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separate"/>
      </w:r>
      <w:r>
        <w:rPr>
          <w:rFonts w:hint="default" w:ascii="Times New Roman" w:hAnsi="Times New Roman" w:eastAsia="方正仿宋_GBK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32"/>
          <w:vertAlign w:val="baseline"/>
          <w:lang w:bidi="zh-CN"/>
        </w:rPr>
        <w:t xml:space="preserve">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PAGEREF _Toc13660 \h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end"/>
      </w:r>
    </w:p>
    <w:p w14:paraId="7D108724">
      <w:pPr>
        <w:pStyle w:val="9"/>
        <w:tabs>
          <w:tab w:val="right" w:leader="dot" w:pos="8306"/>
        </w:tabs>
        <w:spacing w:beforeLines="0" w:afterLines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begin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instrText xml:space="preserve"> HYPERLINK \l _Toc21845 </w:instrTex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separate"/>
      </w:r>
      <w:r>
        <w:rPr>
          <w:rFonts w:hint="default" w:ascii="Times New Roman" w:hAnsi="Times New Roman" w:eastAsia="方正仿宋_GBK" w:cs="Times New Roman"/>
          <w:i w:val="0"/>
          <w:sz w:val="32"/>
          <w:szCs w:val="32"/>
        </w:rPr>
        <w:t xml:space="preserve">2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市场主体监管互动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PAGEREF _Toc21845 \h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end"/>
      </w:r>
    </w:p>
    <w:p w14:paraId="1EC54A1E">
      <w:pPr>
        <w:pStyle w:val="10"/>
        <w:tabs>
          <w:tab w:val="right" w:leader="dot" w:pos="8306"/>
        </w:tabs>
        <w:spacing w:beforeLines="0" w:afterLines="0" w:line="600" w:lineRule="exact"/>
        <w:ind w:left="0" w:leftChars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begin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instrText xml:space="preserve"> HYPERLINK \l _Toc24874 </w:instrTex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separate"/>
      </w:r>
      <w:r>
        <w:rPr>
          <w:rFonts w:hint="default" w:ascii="Times New Roman" w:hAnsi="Times New Roman" w:eastAsia="方正仿宋_GBK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32"/>
          <w:szCs w:val="32"/>
          <w:vertAlign w:val="baseline"/>
          <w:lang w:bidi="zh-CN"/>
        </w:rPr>
        <w:t xml:space="preserve">2.1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企业自查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PAGEREF _Toc24874 \h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end"/>
      </w:r>
    </w:p>
    <w:p w14:paraId="30FDA1C7">
      <w:pPr>
        <w:pStyle w:val="6"/>
        <w:tabs>
          <w:tab w:val="right" w:leader="dot" w:pos="8306"/>
        </w:tabs>
        <w:spacing w:beforeLines="0" w:afterLines="0" w:line="600" w:lineRule="exact"/>
        <w:ind w:left="0" w:leftChars="0" w:firstLine="640" w:firstLineChars="20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begin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instrText xml:space="preserve"> HYPERLINK \l _Toc23323 </w:instrTex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separate"/>
      </w:r>
      <w:r>
        <w:rPr>
          <w:rFonts w:hint="default" w:ascii="Times New Roman" w:hAnsi="Times New Roman" w:eastAsia="方正仿宋_GBK" w:cs="Times New Roman"/>
          <w:i w:val="0"/>
          <w:sz w:val="32"/>
          <w:szCs w:val="32"/>
        </w:rPr>
        <w:t xml:space="preserve">2.1.1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药械化企业自查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ab/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</w:rPr>
        <w:instrText xml:space="preserve"> PAGEREF _Toc23323 \h </w:instrTex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val="zh-CN"/>
        </w:rPr>
        <w:fldChar w:fldCharType="end"/>
      </w:r>
    </w:p>
    <w:p w14:paraId="0600AEC9">
      <w:pPr>
        <w:spacing w:beforeLines="0" w:afterLines="0"/>
        <w:ind w:firstLine="48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bCs/>
          <w:lang w:val="zh-CN"/>
        </w:rPr>
        <w:fldChar w:fldCharType="end"/>
      </w:r>
    </w:p>
    <w:p w14:paraId="049464C2">
      <w:pPr>
        <w:ind w:firstLine="480"/>
        <w:rPr>
          <w:rFonts w:hint="default" w:ascii="Times New Roman" w:hAnsi="Times New Roman" w:eastAsia="方正仿宋_GBK" w:cs="Times New Roman"/>
        </w:rPr>
        <w:sectPr>
          <w:headerReference r:id="rId4" w:type="default"/>
          <w:footerReference r:id="rId5" w:type="default"/>
          <w:pgSz w:w="11906" w:h="16838"/>
          <w:pgMar w:top="1701" w:right="1587" w:bottom="1701" w:left="1587" w:header="0" w:footer="1361" w:gutter="0"/>
          <w:pgNumType w:fmt="decimal"/>
          <w:cols w:space="720" w:num="1"/>
          <w:rtlGutter w:val="0"/>
          <w:docGrid w:linePitch="312" w:charSpace="0"/>
        </w:sectPr>
      </w:pPr>
    </w:p>
    <w:p w14:paraId="427868A9">
      <w:pPr>
        <w:pStyle w:val="2"/>
        <w:spacing w:before="0" w:after="0" w:line="24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Toc34609062"/>
      <w:bookmarkStart w:id="1" w:name="_Toc2773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平台登录</w:t>
      </w:r>
      <w:bookmarkEnd w:id="0"/>
      <w:bookmarkEnd w:id="1"/>
    </w:p>
    <w:p w14:paraId="67CD245D">
      <w:pPr>
        <w:pStyle w:val="3"/>
        <w:spacing w:before="0" w:after="0" w:line="24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2" w:name="_Toc13660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bookmarkEnd w:id="2"/>
    </w:p>
    <w:p w14:paraId="0CDEE2A9">
      <w:pPr>
        <w:spacing w:line="600" w:lineRule="exact"/>
        <w:ind w:firstLine="48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方式一：进入广州市市场监管局官网（链接网址：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instrText xml:space="preserve"> HYPERLINK "http://scjgj.gz.gov.cn/index.html），打开\“政务服务—办事服务—企业上报和服务专区—药械化企业专区\”，微信扫码登录后按要求填写。" </w:instrTex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http://scjgj.gz.gov.cn/index.html），打开【政务服务】—【办事服务】—【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企业上报和服务专区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—【药械化企业专区】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，选择【法人登录】，微信扫码后通过广东省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统一身份认证平台登录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4DD06A83">
      <w:pPr>
        <w:spacing w:line="600" w:lineRule="exact"/>
        <w:ind w:firstLine="48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方式二：打开浏览器，输入“企业上报和服务专区”网址：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instrText xml:space="preserve"> HYPERLINK "https://portal.scjgj.gz.gov.cn/psout/jsp/gcloud/psout/" </w:instrTex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https://portal.scjgj.gz.gov.cn/psout/jsp/gcloud/psout/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fldChar w:fldCharType="end"/>
      </w:r>
    </w:p>
    <w:p w14:paraId="12225D7F">
      <w:pPr>
        <w:spacing w:line="600" w:lineRule="exact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portal/index.jsp进入，点击【登录】，选择【法人登录】，微信扫码后通过广东省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统一身份认证平台登录。</w:t>
      </w:r>
    </w:p>
    <w:p w14:paraId="3CD92352">
      <w:pPr>
        <w:ind w:firstLine="0" w:firstLineChars="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627880" cy="22466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F35D">
      <w:pPr>
        <w:ind w:firstLine="48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微信扫码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登录：</w:t>
      </w:r>
    </w:p>
    <w:p w14:paraId="31FA49A8">
      <w:pPr>
        <w:ind w:left="0" w:leftChars="0" w:firstLine="0" w:firstLineChars="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790440" cy="1997075"/>
            <wp:effectExtent l="0" t="0" r="1016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66EB">
      <w:pPr>
        <w:ind w:left="0" w:leftChars="0" w:firstLine="0" w:firstLineChars="0"/>
        <w:rPr>
          <w:rFonts w:hint="default" w:ascii="Times New Roman" w:hAnsi="Times New Roman" w:eastAsia="方正仿宋_GBK" w:cs="Times New Roman"/>
        </w:rPr>
      </w:pPr>
    </w:p>
    <w:p w14:paraId="130BF05A">
      <w:pPr>
        <w:ind w:left="0" w:leftChars="0" w:firstLine="0" w:firstLineChars="0"/>
        <w:rPr>
          <w:rFonts w:hint="default" w:ascii="Times New Roman" w:hAnsi="Times New Roman" w:eastAsia="方正仿宋_GBK" w:cs="Times New Roman"/>
        </w:rPr>
      </w:pPr>
    </w:p>
    <w:p w14:paraId="2BA0A5E1">
      <w:pPr>
        <w:ind w:firstLine="48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账号密码</w:t>
      </w:r>
      <w:r>
        <w:rPr>
          <w:rFonts w:hint="default" w:ascii="Times New Roman" w:hAnsi="Times New Roman" w:eastAsia="方正仿宋_GBK" w:cs="Times New Roman"/>
        </w:rPr>
        <w:t>登录：</w:t>
      </w:r>
    </w:p>
    <w:p w14:paraId="15C1585F">
      <w:pPr>
        <w:ind w:firstLine="0" w:firstLineChars="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262880" cy="2557145"/>
            <wp:effectExtent l="0" t="0" r="1397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657F">
      <w:pPr>
        <w:ind w:firstLine="0" w:firstLineChars="0"/>
        <w:rPr>
          <w:rFonts w:hint="default" w:ascii="Times New Roman" w:hAnsi="Times New Roman" w:eastAsia="方正仿宋_GBK" w:cs="Times New Roman"/>
        </w:rPr>
      </w:pPr>
    </w:p>
    <w:p w14:paraId="27EABC06">
      <w:pPr>
        <w:pStyle w:val="2"/>
        <w:spacing w:before="0" w:after="0" w:line="6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3" w:name="_Toc21845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市场主体监管互动</w:t>
      </w:r>
      <w:bookmarkEnd w:id="3"/>
    </w:p>
    <w:p w14:paraId="5372D87C">
      <w:pPr>
        <w:spacing w:line="600" w:lineRule="exact"/>
        <w:ind w:firstLine="48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登录后，以经办企业身份，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eastAsia"/>
          <w:sz w:val="32"/>
          <w:szCs w:val="32"/>
          <w:lang w:eastAsia="zh-CN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市场主体监管互动</w:t>
      </w:r>
      <w:r>
        <w:rPr>
          <w:rFonts w:hint="eastAsia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企业自查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，跳转进入对应子系统。</w:t>
      </w:r>
    </w:p>
    <w:p w14:paraId="2E6A2273">
      <w:pPr>
        <w:ind w:firstLine="0" w:firstLineChars="0"/>
        <w:rPr>
          <w:rFonts w:hint="default" w:ascii="Times New Roman" w:hAnsi="Times New Roman" w:eastAsia="方正仿宋_GBK" w:cs="Times New Roman"/>
        </w:rPr>
      </w:pPr>
      <w:r>
        <w:rPr>
          <w:rFonts w:hint="default" w:ascii="仿宋" w:hAnsi="仿宋" w:eastAsia="仿宋" w:cs="仿宋"/>
          <w:color w:val="000000"/>
          <w:lang w:val="en-US" w:eastAsia="zh-CN"/>
        </w:rPr>
        <w:drawing>
          <wp:inline distT="0" distB="0" distL="114300" distR="114300">
            <wp:extent cx="5266690" cy="2446655"/>
            <wp:effectExtent l="0" t="0" r="10160" b="10795"/>
            <wp:docPr id="3" name="图片 4" descr="e1fe86b2123f7fc391bf5ee5e54e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e1fe86b2123f7fc391bf5ee5e54e9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045D">
      <w:pPr>
        <w:pStyle w:val="3"/>
        <w:spacing w:line="5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4" w:name="_Toc24874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企业自查</w:t>
      </w:r>
      <w:bookmarkEnd w:id="4"/>
    </w:p>
    <w:p w14:paraId="308D1B7A">
      <w:pPr>
        <w:pStyle w:val="4"/>
        <w:numPr>
          <w:ilvl w:val="0"/>
          <w:numId w:val="0"/>
        </w:numPr>
        <w:spacing w:line="5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5" w:name="_Toc23323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2.1.1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药械化企业自查</w:t>
      </w:r>
      <w:bookmarkEnd w:id="5"/>
    </w:p>
    <w:p w14:paraId="3D0BE0A4">
      <w:pPr>
        <w:pStyle w:val="5"/>
        <w:widowControl/>
        <w:spacing w:line="5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2.1.1.1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我的自查</w:t>
      </w:r>
    </w:p>
    <w:p w14:paraId="62056740">
      <w:pPr>
        <w:pStyle w:val="11"/>
        <w:spacing w:before="0" w:beforeAutospacing="0" w:after="0" w:afterAutospacing="0" w:line="52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选择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药械化企业自查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我的自查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】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，进入功能界面。用户可以在本界面上根据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状态、关键字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多个查询条件组合查询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。</w:t>
      </w:r>
    </w:p>
    <w:p w14:paraId="0C21673F">
      <w:pPr>
        <w:ind w:left="0" w:leftChars="0" w:firstLine="0" w:firstLineChars="0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023485" cy="2661920"/>
            <wp:effectExtent l="0" t="0" r="571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EBC5">
      <w:pPr>
        <w:pStyle w:val="11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选择用户关联下的企业</w:t>
      </w:r>
    </w:p>
    <w:p w14:paraId="7EA0B0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046345" cy="2527935"/>
            <wp:effectExtent l="0" t="0" r="1905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7D1E">
      <w:pPr>
        <w:pStyle w:val="11"/>
        <w:spacing w:before="0" w:beforeAutospacing="0" w:after="0" w:afterAutospacing="0" w:line="600" w:lineRule="exact"/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双击列表进入自查表，填写表单数据，点击提交按钮提交自查表。</w:t>
      </w:r>
    </w:p>
    <w:p w14:paraId="3DD8DF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655820" cy="2339975"/>
            <wp:effectExtent l="0" t="0" r="1143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5A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696460" cy="2510155"/>
            <wp:effectExtent l="0" t="0" r="8890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75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若信息填错，可在提交后点击撤回按钮撤回，修改后重新提交。</w:t>
      </w:r>
    </w:p>
    <w:p w14:paraId="72BCD1C5"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4714875" cy="2044700"/>
            <wp:effectExtent l="0" t="0" r="9525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64A56">
    <w:pPr>
      <w:pStyle w:val="7"/>
      <w:ind w:firstLine="0" w:firstLineChars="0"/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5EDAB5">
                          <w:pPr>
                            <w:pStyle w:val="7"/>
                            <w:ind w:left="320" w:leftChars="100" w:right="32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05EDAB5">
                    <w:pPr>
                      <w:pStyle w:val="7"/>
                      <w:ind w:left="320" w:leftChars="100" w:right="32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5CC0C">
    <w:pPr>
      <w:pStyle w:val="7"/>
      <w:ind w:firstLine="0" w:firstLineChars="0"/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F3251">
                          <w:pPr>
                            <w:pStyle w:val="7"/>
                            <w:ind w:left="320" w:leftChars="100" w:right="32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B1F3251">
                    <w:pPr>
                      <w:pStyle w:val="7"/>
                      <w:ind w:left="320" w:leftChars="100" w:right="32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829FD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3F7294D8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17E966E2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51B4E62F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66A495EC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71195ACA">
    <w:pPr>
      <w:pStyle w:val="14"/>
      <w:pBdr>
        <w:bottom w:val="single" w:color="auto" w:sz="4" w:space="1"/>
      </w:pBdr>
      <w:rPr>
        <w:rFonts w:hint="eastAsia"/>
        <w:sz w:val="21"/>
        <w:szCs w:val="21"/>
        <w:lang w:eastAsia="zh-CN"/>
      </w:rPr>
    </w:pPr>
  </w:p>
  <w:p w14:paraId="759B26F6">
    <w:pPr>
      <w:pStyle w:val="14"/>
      <w:pBdr>
        <w:bottom w:val="single" w:color="auto" w:sz="4" w:space="1"/>
      </w:pBdr>
      <w:rPr>
        <w:sz w:val="21"/>
        <w:szCs w:val="21"/>
      </w:rPr>
    </w:pPr>
    <w:r>
      <w:rPr>
        <w:rFonts w:hint="eastAsia"/>
        <w:sz w:val="21"/>
        <w:szCs w:val="21"/>
        <w:lang w:eastAsia="zh-CN"/>
      </w:rPr>
      <w:t>医疗器械经营企业年度自查报告</w:t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</w:t>
    </w:r>
    <w:r>
      <w:rPr>
        <w:rFonts w:hint="eastAsia"/>
        <w:sz w:val="21"/>
        <w:szCs w:val="21"/>
      </w:rPr>
      <w:t xml:space="preserve">                           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870098"/>
    <w:multiLevelType w:val="multilevel"/>
    <w:tmpl w:val="F9870098"/>
    <w:lvl w:ilvl="0" w:tentative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sz w:val="32"/>
      </w:rPr>
    </w:lvl>
    <w:lvl w:ilvl="1" w:tentative="0">
      <w:start w:val="1"/>
      <w:numFmt w:val="decimal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宋体" w:hAnsi="宋体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  <w:lang w:bidi="zh-CN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仿宋" w:cs="Times New Roman"/>
        <w:b/>
        <w:i w:val="0"/>
        <w:sz w:val="32"/>
        <w:szCs w:val="32"/>
      </w:rPr>
    </w:lvl>
    <w:lvl w:ilvl="3" w:tentative="0">
      <w:start w:val="1"/>
      <w:numFmt w:val="decimal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宋体" w:eastAsia="仿宋"/>
        <w:b/>
        <w:i w:val="0"/>
        <w:sz w:val="28"/>
      </w:rPr>
    </w:lvl>
    <w:lvl w:ilvl="4" w:tentative="0">
      <w:start w:val="1"/>
      <w:numFmt w:val="decimal"/>
      <w:isLgl/>
      <w:suff w:val="space"/>
      <w:lvlText w:val="%1.%2.%3.%4.%5"/>
      <w:lvlJc w:val="left"/>
      <w:pPr>
        <w:tabs>
          <w:tab w:val="left" w:pos="0"/>
        </w:tabs>
        <w:ind w:left="0" w:firstLine="0"/>
      </w:pPr>
      <w:rPr>
        <w:rFonts w:hint="default" w:ascii="宋体" w:eastAsia="仿宋"/>
        <w:b/>
        <w:i w:val="0"/>
        <w:sz w:val="28"/>
      </w:rPr>
    </w:lvl>
    <w:lvl w:ilvl="5" w:tentative="0">
      <w:start w:val="1"/>
      <w:numFmt w:val="decimal"/>
      <w:isLgl/>
      <w:lvlText w:val="%1.%2.%3.%4.%5.%6."/>
      <w:lvlJc w:val="left"/>
      <w:pPr>
        <w:ind w:left="0" w:firstLine="0"/>
      </w:pPr>
      <w:rPr>
        <w:rFonts w:hint="eastAsia" w:eastAsia="宋体"/>
        <w:b/>
        <w:i w:val="0"/>
        <w:sz w:val="28"/>
      </w:rPr>
    </w:lvl>
    <w:lvl w:ilvl="6" w:tentative="0">
      <w:start w:val="1"/>
      <w:numFmt w:val="decimal"/>
      <w:isLgl/>
      <w:lvlText w:val="%1.%2.%3.%4.%5.%6.%7."/>
      <w:lvlJc w:val="left"/>
      <w:pPr>
        <w:ind w:left="0" w:firstLine="0"/>
      </w:pPr>
      <w:rPr>
        <w:rFonts w:hint="eastAsia" w:ascii="宋体" w:eastAsia="宋体"/>
        <w:b/>
        <w:i w:val="0"/>
        <w:sz w:val="28"/>
      </w:rPr>
    </w:lvl>
    <w:lvl w:ilvl="7" w:tentative="0">
      <w:start w:val="1"/>
      <w:numFmt w:val="decimal"/>
      <w:isLgl/>
      <w:lvlText w:val="%1.%2.%3.%4.%5.%6.%7.%8."/>
      <w:lvlJc w:val="left"/>
      <w:pPr>
        <w:ind w:left="0" w:firstLine="0"/>
      </w:pPr>
      <w:rPr>
        <w:rFonts w:hint="eastAsia" w:ascii="宋体" w:eastAsia="宋体"/>
        <w:b/>
        <w:i w:val="0"/>
        <w:sz w:val="28"/>
      </w:rPr>
    </w:lvl>
    <w:lvl w:ilvl="8" w:tentative="0">
      <w:start w:val="1"/>
      <w:numFmt w:val="decimal"/>
      <w:isLgl/>
      <w:lvlText w:val="%1.%2.%3.%4.%5.%6.%7.%8.%9."/>
      <w:lvlJc w:val="left"/>
      <w:pPr>
        <w:ind w:left="0" w:firstLine="0"/>
      </w:pPr>
      <w:rPr>
        <w:rFonts w:hint="eastAsia" w:ascii="宋体" w:eastAsia="宋体"/>
        <w:b/>
        <w:i w:val="0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ED4189"/>
    <w:rsid w:val="0DED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0"/>
      </w:numPr>
      <w:spacing w:before="340" w:beforeLines="0" w:beforeAutospacing="0" w:after="330" w:afterLines="0" w:afterAutospacing="0" w:line="576" w:lineRule="auto"/>
      <w:outlineLvl w:val="0"/>
    </w:pPr>
    <w:rPr>
      <w:rFonts w:hint="eastAsia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120" w:after="120"/>
      <w:ind w:firstLineChars="0"/>
      <w:outlineLvl w:val="2"/>
    </w:pPr>
    <w:rPr>
      <w:rFonts w:ascii="Calibri" w:hAnsi="Calibr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widowControl/>
      <w:spacing w:before="100" w:beforeLines="0" w:beforeAutospacing="1" w:after="100" w:afterLines="0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/>
      <w:kern w:val="0"/>
      <w:sz w:val="24"/>
    </w:rPr>
  </w:style>
  <w:style w:type="paragraph" w:customStyle="1" w:styleId="14">
    <w:name w:val="无间隔1"/>
    <w:qFormat/>
    <w:uiPriority w:val="1"/>
    <w:pPr>
      <w:jc w:val="both"/>
    </w:pPr>
    <w:rPr>
      <w:rFonts w:ascii="Calibri" w:hAnsi="Calibri" w:eastAsia="宋体" w:cs="Times New Roman"/>
      <w:kern w:val="44"/>
      <w:sz w:val="24"/>
      <w:szCs w:val="24"/>
      <w:lang w:val="en-US" w:eastAsia="zh-CN" w:bidi="ar-SA"/>
    </w:rPr>
  </w:style>
  <w:style w:type="paragraph" w:customStyle="1" w:styleId="15">
    <w:name w:val="TOC 标题2"/>
    <w:basedOn w:val="2"/>
    <w:next w:val="1"/>
    <w:unhideWhenUsed/>
    <w:qFormat/>
    <w:uiPriority w:val="39"/>
    <w:pPr>
      <w:numPr>
        <w:ilvl w:val="0"/>
        <w:numId w:val="0"/>
      </w:numPr>
      <w:spacing w:before="240" w:after="0" w:line="259" w:lineRule="auto"/>
      <w:jc w:val="left"/>
      <w:outlineLvl w:val="9"/>
    </w:pPr>
    <w:rPr>
      <w:rFonts w:ascii="Cambria" w:hAnsi="Cambria" w:eastAsia="宋体" w:cs="Times New Roman"/>
      <w:b w:val="0"/>
      <w:color w:val="366091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2025-01-24T03:13:00Z</dcterms:created>
  <dc:creator>叶菲</dc:creator>
  <cp:lastModifiedBy>叶菲</cp:lastModifiedBy>
  <dcterms:modified xsi:type="dcterms:W3CDTF">2025-01-24T03:14:42Z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D35FCBB94F53498BB0349E139CF8E704_11</vt:lpwstr>
  </property>
  <property fmtid="{D5CDD505-2E9C-101B-9397-08002B2CF9AE}" pid="4" name="KSOTemplateDocerSaveRecord">
    <vt:lpwstr>eyJoZGlkIjoiNzY3ZDhhMTNlYjdhYzYwN2ZlZjg0OTA4NGExOTcxNjAiLCJ1c2VySWQiOiIyODMyODk2OTAifQ==</vt:lpwstr>
  </property>
</Properties>
</file>